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D9149" w14:textId="77777777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824FB">
        <w:rPr>
          <w:rFonts w:ascii="Arial" w:hAnsi="Arial" w:cs="Arial"/>
          <w:b/>
          <w:color w:val="000000"/>
          <w:sz w:val="28"/>
          <w:szCs w:val="28"/>
        </w:rPr>
        <w:t>DOMANDA PARTECIPAZIONE MANIFESTAZIONE DI INTERESSE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1"/>
        <w:gridCol w:w="7433"/>
      </w:tblGrid>
      <w:tr w:rsidR="0089478D" w14:paraId="1145E3F1" w14:textId="77777777" w:rsidTr="00A85653">
        <w:tc>
          <w:tcPr>
            <w:tcW w:w="1401" w:type="dxa"/>
          </w:tcPr>
          <w:p w14:paraId="57596FA1" w14:textId="77777777" w:rsidR="0089478D" w:rsidRDefault="0089478D" w:rsidP="00A85653">
            <w:pPr>
              <w:pStyle w:val="Corpotesto"/>
              <w:tabs>
                <w:tab w:val="left" w:pos="284"/>
              </w:tabs>
              <w:spacing w:before="120" w:after="12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669">
              <w:rPr>
                <w:rFonts w:ascii="Arial" w:hAnsi="Arial" w:cs="Arial"/>
                <w:b/>
                <w:szCs w:val="24"/>
              </w:rPr>
              <w:t>OGGETTO</w:t>
            </w:r>
          </w:p>
        </w:tc>
        <w:tc>
          <w:tcPr>
            <w:tcW w:w="7433" w:type="dxa"/>
          </w:tcPr>
          <w:p w14:paraId="1D1C5559" w14:textId="77777777" w:rsidR="0089478D" w:rsidRDefault="0089478D" w:rsidP="00A85653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D40669">
              <w:rPr>
                <w:rFonts w:ascii="Arial" w:hAnsi="Arial" w:cs="Arial"/>
                <w:b/>
                <w:szCs w:val="24"/>
              </w:rPr>
              <w:t>Procedura d’appalto mediante procedura negoziata sotto soglia</w:t>
            </w:r>
            <w:r>
              <w:rPr>
                <w:rFonts w:ascii="Arial" w:hAnsi="Arial" w:cs="Arial"/>
                <w:b/>
                <w:szCs w:val="24"/>
              </w:rPr>
              <w:t xml:space="preserve"> ex art. 50, comma 1, lett. c), </w:t>
            </w:r>
            <w:r w:rsidRPr="00D40669">
              <w:rPr>
                <w:rFonts w:ascii="Arial" w:hAnsi="Arial" w:cs="Arial"/>
                <w:b/>
                <w:szCs w:val="24"/>
              </w:rPr>
              <w:t xml:space="preserve">del D.Lgs. 36/2023, con ricorso a </w:t>
            </w:r>
            <w:r>
              <w:rPr>
                <w:rFonts w:ascii="Arial" w:hAnsi="Arial" w:cs="Arial"/>
                <w:b/>
                <w:szCs w:val="24"/>
              </w:rPr>
              <w:t>piattaforma Sintel</w:t>
            </w:r>
            <w:r w:rsidRPr="00D40669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per interventi di </w:t>
            </w:r>
            <w:r w:rsidRPr="0056375B">
              <w:rPr>
                <w:rFonts w:ascii="Arial" w:hAnsi="Arial" w:cs="Arial"/>
                <w:b/>
                <w:szCs w:val="24"/>
              </w:rPr>
              <w:t>efficientamento energetico alla scuola primaria e dell'infanzia del comune di Plesio</w:t>
            </w:r>
            <w:r w:rsidRPr="00D40669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– LOTTO OPERE EDILI </w:t>
            </w:r>
          </w:p>
          <w:p w14:paraId="6302F359" w14:textId="77777777" w:rsidR="0089478D" w:rsidRDefault="0089478D" w:rsidP="00A85653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D40669">
              <w:rPr>
                <w:rFonts w:ascii="Arial" w:hAnsi="Arial" w:cs="Arial"/>
                <w:b/>
                <w:szCs w:val="24"/>
              </w:rPr>
              <w:t xml:space="preserve">CUP: </w:t>
            </w:r>
            <w:r w:rsidRPr="00C10A44">
              <w:rPr>
                <w:rFonts w:ascii="Arial" w:hAnsi="Arial" w:cs="Arial"/>
                <w:b/>
                <w:szCs w:val="24"/>
              </w:rPr>
              <w:t>J39J21017480003</w:t>
            </w:r>
          </w:p>
          <w:p w14:paraId="033E8A22" w14:textId="77777777" w:rsidR="0089478D" w:rsidRPr="00D40669" w:rsidRDefault="0089478D" w:rsidP="00A85653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CIG: </w:t>
            </w:r>
            <w:r w:rsidRPr="00426F5B">
              <w:rPr>
                <w:rFonts w:ascii="Arial" w:hAnsi="Arial" w:cs="Arial"/>
                <w:b/>
                <w:szCs w:val="24"/>
              </w:rPr>
              <w:t>A036766A9A</w:t>
            </w:r>
          </w:p>
        </w:tc>
      </w:tr>
    </w:tbl>
    <w:p w14:paraId="07ED2A0C" w14:textId="211964A0" w:rsidR="00752D04" w:rsidRPr="001824FB" w:rsidRDefault="00137581" w:rsidP="00303EDF">
      <w:pPr>
        <w:pStyle w:val="Corpotesto"/>
        <w:widowControl/>
        <w:tabs>
          <w:tab w:val="left" w:pos="284"/>
        </w:tabs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824FB">
        <w:rPr>
          <w:rFonts w:ascii="Arial" w:hAnsi="Arial" w:cs="Arial"/>
          <w:sz w:val="22"/>
          <w:szCs w:val="22"/>
        </w:rPr>
        <w:t>Il/La sottoscritto/a ______________________ nato/a a ___________________ il __________ C.F. ____________________________ residente a _________________ indirizzo _________________________</w:t>
      </w:r>
      <w:r w:rsidR="00446E96">
        <w:rPr>
          <w:rFonts w:ascii="Arial" w:hAnsi="Arial" w:cs="Arial"/>
          <w:sz w:val="22"/>
          <w:szCs w:val="22"/>
        </w:rPr>
        <w:t xml:space="preserve">___________ </w:t>
      </w:r>
      <w:r w:rsidRPr="001824FB">
        <w:rPr>
          <w:rFonts w:ascii="Arial" w:hAnsi="Arial" w:cs="Arial"/>
          <w:sz w:val="22"/>
          <w:szCs w:val="22"/>
        </w:rPr>
        <w:t>in qualità di __________________</w:t>
      </w:r>
      <w:r w:rsidR="00446E96">
        <w:rPr>
          <w:rFonts w:ascii="Arial" w:hAnsi="Arial" w:cs="Arial"/>
          <w:sz w:val="22"/>
          <w:szCs w:val="22"/>
        </w:rPr>
        <w:t>________</w:t>
      </w:r>
      <w:r w:rsidRPr="001824FB">
        <w:rPr>
          <w:rFonts w:ascii="Arial" w:hAnsi="Arial" w:cs="Arial"/>
          <w:sz w:val="22"/>
          <w:szCs w:val="22"/>
        </w:rPr>
        <w:t>____ della ditta ___________________</w:t>
      </w:r>
      <w:r w:rsidR="00446E96">
        <w:rPr>
          <w:rFonts w:ascii="Arial" w:hAnsi="Arial" w:cs="Arial"/>
          <w:sz w:val="22"/>
          <w:szCs w:val="22"/>
        </w:rPr>
        <w:t>_____</w:t>
      </w:r>
      <w:r w:rsidRPr="001824FB">
        <w:rPr>
          <w:rFonts w:ascii="Arial" w:hAnsi="Arial" w:cs="Arial"/>
          <w:sz w:val="22"/>
          <w:szCs w:val="22"/>
        </w:rPr>
        <w:t>__ con sede legale in _____________</w:t>
      </w:r>
      <w:r w:rsidR="00446E96">
        <w:rPr>
          <w:rFonts w:ascii="Arial" w:hAnsi="Arial" w:cs="Arial"/>
          <w:sz w:val="22"/>
          <w:szCs w:val="22"/>
        </w:rPr>
        <w:t xml:space="preserve"> V</w:t>
      </w:r>
      <w:r w:rsidRPr="001824FB">
        <w:rPr>
          <w:rFonts w:ascii="Arial" w:hAnsi="Arial" w:cs="Arial"/>
          <w:sz w:val="22"/>
          <w:szCs w:val="22"/>
        </w:rPr>
        <w:t>ia __________________ C.F/P.IVA ___</w:t>
      </w:r>
      <w:r w:rsidR="00446E96">
        <w:rPr>
          <w:rFonts w:ascii="Arial" w:hAnsi="Arial" w:cs="Arial"/>
          <w:sz w:val="22"/>
          <w:szCs w:val="22"/>
        </w:rPr>
        <w:t>___</w:t>
      </w:r>
      <w:r w:rsidRPr="001824FB">
        <w:rPr>
          <w:rFonts w:ascii="Arial" w:hAnsi="Arial" w:cs="Arial"/>
          <w:sz w:val="22"/>
          <w:szCs w:val="22"/>
        </w:rPr>
        <w:t>________________ PEC _________________________</w:t>
      </w:r>
    </w:p>
    <w:p w14:paraId="54DDBF79" w14:textId="77777777" w:rsidR="00137581" w:rsidRPr="001824FB" w:rsidRDefault="00752D04" w:rsidP="00137581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C</w:t>
      </w:r>
      <w:r w:rsidR="00303EDF" w:rsidRPr="001824FB">
        <w:rPr>
          <w:rFonts w:ascii="Arial" w:hAnsi="Arial" w:cs="Arial"/>
          <w:b/>
          <w:sz w:val="22"/>
          <w:szCs w:val="22"/>
        </w:rPr>
        <w:t>HIED</w:t>
      </w:r>
      <w:r w:rsidRPr="001824FB">
        <w:rPr>
          <w:rFonts w:ascii="Arial" w:hAnsi="Arial" w:cs="Arial"/>
          <w:b/>
          <w:sz w:val="22"/>
          <w:szCs w:val="22"/>
        </w:rPr>
        <w:t>E</w:t>
      </w:r>
    </w:p>
    <w:p w14:paraId="400123B4" w14:textId="6571ABEE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>di partecipare alla gara in oggetto.</w:t>
      </w:r>
    </w:p>
    <w:p w14:paraId="06C38FA1" w14:textId="77777777" w:rsidR="00752D04" w:rsidRDefault="00752D04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 xml:space="preserve">A tal fine, </w:t>
      </w:r>
      <w:r w:rsidRPr="001824FB">
        <w:rPr>
          <w:rFonts w:ascii="Arial" w:hAnsi="Arial" w:cs="Arial"/>
          <w:b/>
          <w:bCs/>
          <w:sz w:val="22"/>
          <w:szCs w:val="22"/>
        </w:rPr>
        <w:t xml:space="preserve">allega </w:t>
      </w:r>
      <w:r w:rsidRPr="001824FB">
        <w:rPr>
          <w:rFonts w:ascii="Arial" w:hAnsi="Arial" w:cs="Arial"/>
          <w:sz w:val="22"/>
          <w:szCs w:val="22"/>
        </w:rPr>
        <w:t>l’autocertificazione mediante DGUE</w:t>
      </w:r>
    </w:p>
    <w:p w14:paraId="2D11A204" w14:textId="77777777" w:rsidR="00CA25A2" w:rsidRPr="001824FB" w:rsidRDefault="00CA25A2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1769C1CC" w14:textId="77777777" w:rsidR="00752D04" w:rsidRPr="001824FB" w:rsidRDefault="00303EDF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DICHIARA</w:t>
      </w:r>
    </w:p>
    <w:p w14:paraId="4F3C6C53" w14:textId="77777777" w:rsidR="00752D04" w:rsidRPr="001824FB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>che nei propri confronti non ricorrono le cause di esclusione contemplate dagli articoli dal 94 al 98 del D.Lgs. n. 36/2023;</w:t>
      </w:r>
    </w:p>
    <w:p w14:paraId="5C14955A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reso false comunicazioni sociali di cui agli articoli 2621 e 2622 del codice civile;</w:t>
      </w:r>
    </w:p>
    <w:p w14:paraId="1CB27870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presentato nella procedura di gara in corso e negli affidamenti di subappalti documentazione o dichiarazioni non veritiere;</w:t>
      </w:r>
    </w:p>
    <w:p w14:paraId="05C312E5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27B88321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di essere </w:t>
      </w:r>
      <w:r w:rsidRPr="001824FB">
        <w:rPr>
          <w:rFonts w:ascii="Arial" w:hAnsi="Arial" w:cs="Arial"/>
          <w:i/>
        </w:rPr>
        <w:t xml:space="preserve">oppure </w:t>
      </w:r>
      <w:r w:rsidRPr="001824FB">
        <w:rPr>
          <w:rFonts w:ascii="Arial" w:hAnsi="Arial" w:cs="Arial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6C8B5BB5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essersi reso colpevole di gravi illeciti professionali, tali da rendere dubbia la sua integrità o affidabilità;</w:t>
      </w:r>
    </w:p>
    <w:p w14:paraId="394A1CF9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tentato di influenzare indebitamente il processo decisionale della stazione appaltante o di ottenere informazioni riservate a fini di proprio vantaggio;</w:t>
      </w:r>
    </w:p>
    <w:p w14:paraId="6B465DC9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fornito, anche per negligenza, informazioni false o fuorvianti suscettibili di influenzare le decisioni sull’esclusione, la selezione o l’aggiudicazione;</w:t>
      </w:r>
    </w:p>
    <w:p w14:paraId="0588E65A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omesso le informazioni dovute ai fini del corretto svolgimento della procedura di selezione;</w:t>
      </w:r>
    </w:p>
    <w:p w14:paraId="6FF9C7C2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lastRenderedPageBreak/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5C715F1A" w14:textId="43ABACAE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essere sottoposto a fallimento</w:t>
      </w:r>
      <w:r w:rsidR="0074413D" w:rsidRPr="001824FB">
        <w:rPr>
          <w:rFonts w:ascii="Arial" w:hAnsi="Arial" w:cs="Arial"/>
        </w:rPr>
        <w:t>/liquidazione giudiziale</w:t>
      </w:r>
      <w:r w:rsidRPr="001824FB">
        <w:rPr>
          <w:rFonts w:ascii="Arial" w:hAnsi="Arial" w:cs="Arial"/>
        </w:rPr>
        <w:t xml:space="preserve"> o di trovarsi in stato di liquidazione coatta o di concordato preventivo, e che non è in corso nei propri confronti un procedimento per la dichiarazione di una di tali situazioni;</w:t>
      </w:r>
    </w:p>
    <w:p w14:paraId="045A4B94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commesso grave inadempimento nei confronti di uno o più subappaltatori, riconosciuto o accertato con sentenza passata in giudicato;</w:t>
      </w:r>
    </w:p>
    <w:p w14:paraId="17122C28" w14:textId="77777777" w:rsidR="00752D04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5D9EB84F" w14:textId="77777777" w:rsidR="00CA25A2" w:rsidRPr="001824FB" w:rsidRDefault="00CA25A2" w:rsidP="00CA25A2">
      <w:pPr>
        <w:pStyle w:val="Paragrafoelenco"/>
        <w:widowControl/>
        <w:tabs>
          <w:tab w:val="left" w:pos="284"/>
        </w:tabs>
        <w:spacing w:before="120" w:after="120" w:line="259" w:lineRule="auto"/>
        <w:ind w:left="284" w:right="0" w:firstLine="0"/>
        <w:rPr>
          <w:rFonts w:ascii="Arial" w:hAnsi="Arial" w:cs="Arial"/>
        </w:rPr>
      </w:pPr>
    </w:p>
    <w:p w14:paraId="2F34C7A2" w14:textId="77777777" w:rsidR="00752D04" w:rsidRPr="001824FB" w:rsidRDefault="00752D04" w:rsidP="00303EDF">
      <w:pPr>
        <w:pStyle w:val="Titolo1"/>
        <w:widowControl/>
        <w:tabs>
          <w:tab w:val="left" w:pos="284"/>
        </w:tabs>
        <w:spacing w:before="240" w:after="240" w:line="264" w:lineRule="auto"/>
        <w:ind w:right="0"/>
        <w:rPr>
          <w:rFonts w:ascii="Arial" w:hAnsi="Arial" w:cs="Arial"/>
          <w:sz w:val="22"/>
          <w:szCs w:val="22"/>
        </w:rPr>
      </w:pPr>
      <w:bookmarkStart w:id="1" w:name="_Hlk142297217"/>
      <w:r w:rsidRPr="001824FB">
        <w:rPr>
          <w:rFonts w:ascii="Arial" w:hAnsi="Arial" w:cs="Arial"/>
          <w:sz w:val="22"/>
          <w:szCs w:val="22"/>
        </w:rPr>
        <w:t>IMPEGNO DEL CONCORRENTE</w:t>
      </w:r>
    </w:p>
    <w:p w14:paraId="16DB682C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>In conformità a quanto previsto dall’art. 102 del D.Lgs. 36/2023 il concorrente assume i seguenti impegni:</w:t>
      </w:r>
    </w:p>
    <w:p w14:paraId="7A381D0C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a) </w:t>
      </w:r>
      <w:r w:rsidRPr="001824FB">
        <w:rPr>
          <w:rFonts w:ascii="Arial" w:hAnsi="Arial" w:cs="Arial"/>
        </w:rPr>
        <w:tab/>
        <w:t>garantire la stabilità occupazionale del personale impiegato;</w:t>
      </w:r>
    </w:p>
    <w:p w14:paraId="55BF56FC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b) </w:t>
      </w:r>
      <w:r w:rsidRPr="001824FB">
        <w:rPr>
          <w:rFonts w:ascii="Arial" w:hAnsi="Arial" w:cs="Arial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878E4AE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c) </w:t>
      </w:r>
      <w:r w:rsidRPr="001824FB">
        <w:rPr>
          <w:rFonts w:ascii="Arial" w:hAnsi="Arial" w:cs="Arial"/>
        </w:rPr>
        <w:tab/>
        <w:t>garantire le pari opportunità generazionali, di genere e di inclusione lavorativa per le persone con disabilità o svantaggiate.</w:t>
      </w:r>
    </w:p>
    <w:p w14:paraId="40E9A69A" w14:textId="6823578B" w:rsidR="00752D04" w:rsidRPr="001824FB" w:rsidRDefault="00752D04" w:rsidP="00303EDF">
      <w:pPr>
        <w:pStyle w:val="Corpotesto"/>
        <w:widowControl/>
        <w:tabs>
          <w:tab w:val="left" w:pos="284"/>
        </w:tabs>
        <w:spacing w:before="240"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824FB">
        <w:rPr>
          <w:rFonts w:ascii="Arial" w:hAnsi="Arial" w:cs="Arial"/>
          <w:b/>
          <w:bCs/>
          <w:sz w:val="22"/>
          <w:szCs w:val="22"/>
        </w:rPr>
        <w:t>I</w:t>
      </w:r>
      <w:r w:rsidR="003B274E" w:rsidRPr="001824FB">
        <w:rPr>
          <w:rFonts w:ascii="Arial" w:hAnsi="Arial" w:cs="Arial"/>
          <w:b/>
          <w:bCs/>
          <w:sz w:val="22"/>
          <w:szCs w:val="22"/>
        </w:rPr>
        <w:t>NOLTRE</w:t>
      </w:r>
    </w:p>
    <w:p w14:paraId="5EA92F0C" w14:textId="77777777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AI SENSI DELLA LEGGE 13 AGOSTO 2010, N. 136</w:t>
      </w:r>
    </w:p>
    <w:p w14:paraId="1B7EB5AE" w14:textId="494F1FAD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>L’operatore economico si impegna</w:t>
      </w:r>
      <w:r w:rsidR="003B274E" w:rsidRPr="001824FB">
        <w:rPr>
          <w:rFonts w:ascii="Arial" w:hAnsi="Arial" w:cs="Arial"/>
          <w:sz w:val="22"/>
          <w:szCs w:val="22"/>
        </w:rPr>
        <w:t xml:space="preserve"> </w:t>
      </w:r>
      <w:r w:rsidRPr="001824FB">
        <w:rPr>
          <w:rFonts w:ascii="Arial" w:hAnsi="Arial" w:cs="Arial"/>
          <w:sz w:val="22"/>
          <w:szCs w:val="22"/>
        </w:rPr>
        <w:t>a dare attuazione alle disposizioni di cui alla legge 13 agosto 2010, n. 136 in materia di tracciabilità dei flussi finanziari.</w:t>
      </w:r>
    </w:p>
    <w:p w14:paraId="5FE4D52C" w14:textId="77777777" w:rsidR="00446E96" w:rsidRDefault="00752D04" w:rsidP="00446E96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before="240" w:after="120" w:line="264" w:lineRule="auto"/>
        <w:ind w:left="360"/>
        <w:rPr>
          <w:rFonts w:ascii="Arial" w:hAnsi="Arial" w:cs="Arial"/>
        </w:rPr>
      </w:pPr>
      <w:r w:rsidRPr="00446E96">
        <w:rPr>
          <w:rFonts w:ascii="Arial" w:hAnsi="Arial" w:cs="Arial"/>
        </w:rPr>
        <w:t xml:space="preserve">eseguire tutti i movimenti finanziari inerenti e conseguenti all’esecuzione del presente appalto garantendone la registrazione sul </w:t>
      </w:r>
      <w:r w:rsidR="003B274E" w:rsidRPr="00446E96">
        <w:rPr>
          <w:rFonts w:ascii="Arial" w:hAnsi="Arial" w:cs="Arial"/>
        </w:rPr>
        <w:t xml:space="preserve">predetto </w:t>
      </w:r>
      <w:r w:rsidRPr="00446E96">
        <w:rPr>
          <w:rFonts w:ascii="Arial" w:hAnsi="Arial" w:cs="Arial"/>
        </w:rPr>
        <w:t xml:space="preserve">conto corrente dedicato, utilizzando esclusivamente lo strumento del bonifico bancario </w:t>
      </w:r>
      <w:r w:rsidR="003B274E" w:rsidRPr="00446E96">
        <w:rPr>
          <w:rFonts w:ascii="Arial" w:hAnsi="Arial" w:cs="Arial"/>
        </w:rPr>
        <w:t>ov</w:t>
      </w:r>
      <w:r w:rsidRPr="00446E96">
        <w:rPr>
          <w:rFonts w:ascii="Arial" w:hAnsi="Arial" w:cs="Arial"/>
        </w:rPr>
        <w:t>vero mezzi di pagamento idonei ad assicurare la tracciabilità delle transazioni;</w:t>
      </w:r>
    </w:p>
    <w:p w14:paraId="5FA57BFD" w14:textId="7DA28C14" w:rsidR="00752D04" w:rsidRPr="00446E96" w:rsidRDefault="00752D04" w:rsidP="003B274E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before="120" w:after="120" w:line="264" w:lineRule="auto"/>
        <w:ind w:left="360"/>
        <w:rPr>
          <w:rFonts w:ascii="Arial" w:hAnsi="Arial" w:cs="Arial"/>
        </w:rPr>
      </w:pPr>
      <w:r w:rsidRPr="00446E96">
        <w:rPr>
          <w:rFonts w:ascii="Arial" w:hAnsi="Arial" w:cs="Arial"/>
        </w:rPr>
        <w:t>assicurare che ciascuna transazione riporti il codice identificativo della gara (CIG)</w:t>
      </w:r>
      <w:r w:rsidR="003B274E" w:rsidRPr="00446E96">
        <w:rPr>
          <w:rFonts w:ascii="Arial" w:hAnsi="Arial" w:cs="Arial"/>
        </w:rPr>
        <w:t>.</w:t>
      </w:r>
    </w:p>
    <w:p w14:paraId="1E0D0633" w14:textId="77777777" w:rsidR="00446E96" w:rsidRDefault="003B274E" w:rsidP="00446E96">
      <w:pPr>
        <w:spacing w:before="240" w:after="240"/>
        <w:jc w:val="center"/>
        <w:rPr>
          <w:rFonts w:ascii="Arial" w:hAnsi="Arial" w:cs="Arial"/>
          <w:b/>
        </w:rPr>
      </w:pPr>
      <w:r w:rsidRPr="001824FB">
        <w:rPr>
          <w:rFonts w:ascii="Arial" w:hAnsi="Arial" w:cs="Arial"/>
          <w:b/>
        </w:rPr>
        <w:t>INFINE COMUNIC</w:t>
      </w:r>
      <w:r w:rsidR="00446E96">
        <w:rPr>
          <w:rFonts w:ascii="Arial" w:hAnsi="Arial" w:cs="Arial"/>
          <w:b/>
        </w:rPr>
        <w:t>A</w:t>
      </w:r>
    </w:p>
    <w:p w14:paraId="6976A132" w14:textId="3FFE68F3" w:rsidR="003B274E" w:rsidRPr="00446E96" w:rsidRDefault="003B274E" w:rsidP="00446E96">
      <w:pPr>
        <w:spacing w:before="240" w:after="120"/>
        <w:jc w:val="both"/>
        <w:rPr>
          <w:rFonts w:ascii="Arial" w:hAnsi="Arial" w:cs="Arial"/>
          <w:b/>
        </w:rPr>
      </w:pPr>
      <w:r w:rsidRPr="001824FB">
        <w:rPr>
          <w:rFonts w:ascii="Arial" w:hAnsi="Arial" w:cs="Arial"/>
        </w:rPr>
        <w:t xml:space="preserve">che i soggetti delegati ad operare sul proprio conto corrente dedicato, </w:t>
      </w:r>
      <w:r w:rsidRPr="001824FB">
        <w:rPr>
          <w:rFonts w:ascii="Arial" w:hAnsi="Arial" w:cs="Arial"/>
          <w:color w:val="000000"/>
        </w:rPr>
        <w:t>anche in via non esclusiva,</w:t>
      </w:r>
      <w:r w:rsidRPr="001824FB">
        <w:rPr>
          <w:rFonts w:ascii="Arial" w:hAnsi="Arial" w:cs="Arial"/>
        </w:rPr>
        <w:t xml:space="preserve"> sono:</w:t>
      </w:r>
    </w:p>
    <w:p w14:paraId="0712F753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Cognome e Nome ___________________________</w:t>
      </w:r>
    </w:p>
    <w:p w14:paraId="7DA6DDCD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C.F. ______________________________________</w:t>
      </w:r>
    </w:p>
    <w:p w14:paraId="0597F996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lastRenderedPageBreak/>
        <w:t>Luogo di nascita ____________________________</w:t>
      </w:r>
    </w:p>
    <w:p w14:paraId="324EA990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Data di nascita ______________________________</w:t>
      </w:r>
    </w:p>
    <w:bookmarkEnd w:id="1"/>
    <w:p w14:paraId="145C46F8" w14:textId="77777777" w:rsidR="00752D04" w:rsidRPr="001824FB" w:rsidRDefault="00752D04" w:rsidP="00303EDF">
      <w:pPr>
        <w:widowControl/>
        <w:tabs>
          <w:tab w:val="left" w:pos="284"/>
        </w:tabs>
        <w:spacing w:before="360" w:after="120" w:line="264" w:lineRule="auto"/>
        <w:rPr>
          <w:rFonts w:ascii="Arial" w:hAnsi="Arial" w:cs="Arial"/>
        </w:rPr>
      </w:pPr>
      <w:r w:rsidRPr="001824FB">
        <w:rPr>
          <w:rFonts w:ascii="Arial" w:hAnsi="Arial" w:cs="Arial"/>
        </w:rPr>
        <w:t>Luogo e data ________________</w:t>
      </w:r>
    </w:p>
    <w:p w14:paraId="331B5C34" w14:textId="77777777" w:rsidR="00752D04" w:rsidRPr="001824FB" w:rsidRDefault="00752D04" w:rsidP="00303EDF">
      <w:pPr>
        <w:widowControl/>
        <w:tabs>
          <w:tab w:val="left" w:pos="284"/>
        </w:tabs>
        <w:spacing w:before="480" w:after="120" w:line="264" w:lineRule="auto"/>
        <w:jc w:val="right"/>
        <w:rPr>
          <w:rFonts w:ascii="Arial" w:hAnsi="Arial" w:cs="Arial"/>
          <w:b/>
        </w:rPr>
      </w:pPr>
      <w:r w:rsidRPr="001824FB">
        <w:rPr>
          <w:rFonts w:ascii="Arial" w:hAnsi="Arial" w:cs="Arial"/>
          <w:b/>
        </w:rPr>
        <w:t>L’OPERATORE ECONOMICO</w:t>
      </w:r>
    </w:p>
    <w:p w14:paraId="3BAD1500" w14:textId="77777777" w:rsidR="00D70973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right"/>
        <w:rPr>
          <w:rFonts w:ascii="Arial" w:hAnsi="Arial" w:cs="Arial"/>
        </w:rPr>
      </w:pPr>
      <w:r w:rsidRPr="00303EDF">
        <w:rPr>
          <w:rFonts w:ascii="Arial" w:hAnsi="Arial" w:cs="Arial"/>
        </w:rPr>
        <w:t>_________________________</w:t>
      </w:r>
    </w:p>
    <w:sectPr w:rsidR="00D70973" w:rsidRPr="00303EDF" w:rsidSect="001824FB"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D542F" w14:textId="77777777" w:rsidR="00F02DDA" w:rsidRDefault="00F02DDA">
      <w:r>
        <w:separator/>
      </w:r>
    </w:p>
  </w:endnote>
  <w:endnote w:type="continuationSeparator" w:id="0">
    <w:p w14:paraId="1D575284" w14:textId="77777777" w:rsidR="00F02DDA" w:rsidRDefault="00F0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6F44" w14:textId="77777777" w:rsidR="00F02DDA" w:rsidRDefault="00F02DDA">
      <w:r>
        <w:separator/>
      </w:r>
    </w:p>
  </w:footnote>
  <w:footnote w:type="continuationSeparator" w:id="0">
    <w:p w14:paraId="41297CAD" w14:textId="77777777" w:rsidR="00F02DDA" w:rsidRDefault="00F0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2" w15:restartNumberingAfterBreak="0">
    <w:nsid w:val="5A8E52EC"/>
    <w:multiLevelType w:val="hybridMultilevel"/>
    <w:tmpl w:val="847856E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36E93"/>
    <w:multiLevelType w:val="hybridMultilevel"/>
    <w:tmpl w:val="182EF210"/>
    <w:lvl w:ilvl="0" w:tplc="13F60702">
      <w:start w:val="2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681E01CC"/>
    <w:multiLevelType w:val="hybridMultilevel"/>
    <w:tmpl w:val="BC4639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2366"/>
    <w:multiLevelType w:val="hybridMultilevel"/>
    <w:tmpl w:val="582E5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A7A20"/>
    <w:multiLevelType w:val="hybridMultilevel"/>
    <w:tmpl w:val="CFC2F9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04"/>
    <w:rsid w:val="001337EA"/>
    <w:rsid w:val="00137581"/>
    <w:rsid w:val="001824FB"/>
    <w:rsid w:val="003021B2"/>
    <w:rsid w:val="00303EDF"/>
    <w:rsid w:val="003B274E"/>
    <w:rsid w:val="00424B06"/>
    <w:rsid w:val="00446E96"/>
    <w:rsid w:val="005B38AA"/>
    <w:rsid w:val="005D451A"/>
    <w:rsid w:val="0074413D"/>
    <w:rsid w:val="00752D04"/>
    <w:rsid w:val="007B183F"/>
    <w:rsid w:val="00800385"/>
    <w:rsid w:val="0089478D"/>
    <w:rsid w:val="008C59D6"/>
    <w:rsid w:val="00AF7E15"/>
    <w:rsid w:val="00CA25A2"/>
    <w:rsid w:val="00D70973"/>
    <w:rsid w:val="00D76BE9"/>
    <w:rsid w:val="00F0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D33E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D74B-0423-48C2-9DBD-45882786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Fabio Sala</cp:lastModifiedBy>
  <cp:revision>2</cp:revision>
  <cp:lastPrinted>2023-08-07T07:07:00Z</cp:lastPrinted>
  <dcterms:created xsi:type="dcterms:W3CDTF">2023-12-01T14:58:00Z</dcterms:created>
  <dcterms:modified xsi:type="dcterms:W3CDTF">2023-12-01T14:58:00Z</dcterms:modified>
</cp:coreProperties>
</file>